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7A" w:rsidRPr="000417A6" w:rsidRDefault="00977D5A" w:rsidP="000417A6">
      <w:pPr>
        <w:jc w:val="center"/>
        <w:rPr>
          <w:rFonts w:cs="Calibri"/>
          <w:b/>
          <w:sz w:val="32"/>
          <w:szCs w:val="32"/>
        </w:rPr>
      </w:pPr>
      <w:r w:rsidRPr="000417A6">
        <w:rPr>
          <w:rFonts w:cs="Calibri"/>
          <w:b/>
          <w:sz w:val="32"/>
          <w:szCs w:val="32"/>
        </w:rPr>
        <w:t>Uni</w:t>
      </w:r>
      <w:bookmarkStart w:id="0" w:name="_GoBack"/>
      <w:bookmarkEnd w:id="0"/>
      <w:r w:rsidRPr="000417A6">
        <w:rPr>
          <w:rFonts w:cs="Calibri"/>
          <w:b/>
          <w:sz w:val="32"/>
          <w:szCs w:val="32"/>
        </w:rPr>
        <w:t>t 4 Overview</w:t>
      </w:r>
    </w:p>
    <w:p w:rsidR="000417A6" w:rsidRDefault="000417A6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Big Questions:</w:t>
      </w:r>
    </w:p>
    <w:p w:rsidR="000417A6" w:rsidRDefault="000417A6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How do businesses use marginal analysis to make decisions?</w:t>
      </w:r>
    </w:p>
    <w:p w:rsidR="000417A6" w:rsidRDefault="000417A6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What drives producers’ decision making about output?</w:t>
      </w:r>
    </w:p>
    <w:p w:rsidR="000417A6" w:rsidRDefault="000417A6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0417A6" w:rsidRPr="000417A6" w:rsidRDefault="000417A6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Essential Understanding and Terms:</w:t>
      </w:r>
    </w:p>
    <w:p w:rsidR="000417A6" w:rsidRDefault="00817BD2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817BD2">
        <w:rPr>
          <w:rFonts w:cs="Calibri"/>
          <w:b/>
          <w:sz w:val="20"/>
          <w:szCs w:val="20"/>
        </w:rPr>
        <w:t>Students should be able to</w:t>
      </w:r>
      <w:r w:rsidR="005E3A7C">
        <w:rPr>
          <w:rFonts w:cs="Calibri"/>
          <w:b/>
          <w:sz w:val="20"/>
          <w:szCs w:val="20"/>
        </w:rPr>
        <w:t xml:space="preserve"> calculate and</w:t>
      </w:r>
      <w:r w:rsidRPr="00817BD2">
        <w:rPr>
          <w:rFonts w:cs="Calibri"/>
          <w:b/>
          <w:sz w:val="20"/>
          <w:szCs w:val="20"/>
        </w:rPr>
        <w:t xml:space="preserve"> describe the relationship between the quantity of inputs and the quantity of outputs using total product, marginal product, and average product data and curves. </w:t>
      </w:r>
    </w:p>
    <w:p w:rsidR="00817BD2" w:rsidRPr="005E3A7C" w:rsidRDefault="005E3A7C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Mastery Includes: Describe the difference between the short-run and long-run. Define and calculate TP, MP, and AP. Illustrate the relationship between TP, MP, and AP and quantity of inputs</w:t>
      </w:r>
      <w:r w:rsidR="00546A80">
        <w:rPr>
          <w:rFonts w:cs="Calibri"/>
          <w:sz w:val="20"/>
          <w:szCs w:val="20"/>
        </w:rPr>
        <w:t xml:space="preserve"> on a graph</w:t>
      </w:r>
      <w:r>
        <w:rPr>
          <w:rFonts w:cs="Calibri"/>
          <w:sz w:val="20"/>
          <w:szCs w:val="20"/>
        </w:rPr>
        <w:t xml:space="preserve">. Describe the three stages of the theory of production. </w:t>
      </w:r>
    </w:p>
    <w:p w:rsidR="005E3A7C" w:rsidRDefault="005E3A7C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9E366D" w:rsidRPr="00106C77" w:rsidRDefault="009E366D" w:rsidP="009E366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06C77">
        <w:rPr>
          <w:rFonts w:cs="Calibri"/>
          <w:sz w:val="20"/>
          <w:szCs w:val="20"/>
        </w:rPr>
        <w:t>Short Run VS Long Run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Total Product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Marginal Product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Average Product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Theory of Production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Increasing Marginal Returns/Product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Diminishing Marginal Returns/Product</w:t>
      </w:r>
    </w:p>
    <w:p w:rsidR="009E366D" w:rsidRP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Negative Returns/Product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817BD2" w:rsidRDefault="00817BD2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Students should be able to </w:t>
      </w:r>
      <w:r w:rsidR="005E3A7C">
        <w:rPr>
          <w:rFonts w:cs="Calibri"/>
          <w:b/>
          <w:sz w:val="20"/>
          <w:szCs w:val="20"/>
        </w:rPr>
        <w:t xml:space="preserve">calculate and </w:t>
      </w:r>
      <w:r>
        <w:rPr>
          <w:rFonts w:cs="Calibri"/>
          <w:b/>
          <w:sz w:val="20"/>
          <w:szCs w:val="20"/>
        </w:rPr>
        <w:t xml:space="preserve">describe the relationship between costs and the quantity of outputs in the short-run and long-run using total cost, total fixed cost, total variable cost, marginal cost, average total cost, average fixed cost, and average variable cost data and curves. </w:t>
      </w:r>
    </w:p>
    <w:p w:rsidR="005E3A7C" w:rsidRPr="005E3A7C" w:rsidRDefault="005E3A7C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Mastery Includes: Calculate and describe the relationship between output data and cost data: TP:TC, MP:MC, and </w:t>
      </w:r>
      <w:proofErr w:type="gramStart"/>
      <w:r>
        <w:rPr>
          <w:rFonts w:cs="Calibri"/>
          <w:sz w:val="20"/>
          <w:szCs w:val="20"/>
        </w:rPr>
        <w:t>AP:AVC</w:t>
      </w:r>
      <w:proofErr w:type="gramEnd"/>
      <w:r>
        <w:rPr>
          <w:rFonts w:cs="Calibri"/>
          <w:sz w:val="20"/>
          <w:szCs w:val="20"/>
        </w:rPr>
        <w:t xml:space="preserve">. Calculate and describe the relationship between cost measures: </w:t>
      </w:r>
      <w:proofErr w:type="gramStart"/>
      <w:r>
        <w:rPr>
          <w:rFonts w:cs="Calibri"/>
          <w:sz w:val="20"/>
          <w:szCs w:val="20"/>
        </w:rPr>
        <w:t>TC</w:t>
      </w:r>
      <w:r w:rsidR="00546A80">
        <w:rPr>
          <w:rFonts w:cs="Calibri"/>
          <w:sz w:val="20"/>
          <w:szCs w:val="20"/>
        </w:rPr>
        <w:t>:TFC</w:t>
      </w:r>
      <w:proofErr w:type="gramEnd"/>
      <w:r w:rsidR="00546A80">
        <w:rPr>
          <w:rFonts w:cs="Calibri"/>
          <w:sz w:val="20"/>
          <w:szCs w:val="20"/>
        </w:rPr>
        <w:t xml:space="preserve">:TVC, ATC:AFC:AVC, MC:TC, MC:TVC, and MC:ATC:AVC. Illustrate all cost measures on a graph. </w:t>
      </w:r>
    </w:p>
    <w:p w:rsidR="00817BD2" w:rsidRDefault="00817BD2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Total Cost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Total Fixed Cost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Total Variable Cost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Marginal Cost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Average Total Cost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Average Fixed Cost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Average Variable Cost</w:t>
      </w:r>
    </w:p>
    <w:p w:rsidR="009E366D" w:rsidRP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Efficient Scale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817BD2" w:rsidRPr="00817BD2" w:rsidRDefault="00817BD2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Students should be able to define the profit maximization rule, identify profits and losses</w:t>
      </w:r>
      <w:r w:rsidR="005E3A7C">
        <w:rPr>
          <w:rFonts w:cs="Calibri"/>
          <w:b/>
          <w:sz w:val="20"/>
          <w:szCs w:val="20"/>
        </w:rPr>
        <w:t xml:space="preserve"> on a graph</w:t>
      </w:r>
      <w:r>
        <w:rPr>
          <w:rFonts w:cs="Calibri"/>
          <w:b/>
          <w:sz w:val="20"/>
          <w:szCs w:val="20"/>
        </w:rPr>
        <w:t>, and explain whether more firms will continue to operate or shut down in the short-run.</w:t>
      </w:r>
    </w:p>
    <w:p w:rsidR="000417A6" w:rsidRDefault="00546A80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Mastery Includes: Calculate and describe the relationship between total revenue, marginal revenue, and total profits and quantity of outputs. </w:t>
      </w:r>
    </w:p>
    <w:p w:rsidR="000417A6" w:rsidRDefault="000417A6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Total Revenue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Marginal Revenue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Average Revenue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Total Profit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Explicit VS Implicit Costs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Accounting/Normal Profit VS Economic Profit</w:t>
      </w:r>
    </w:p>
    <w:p w:rsid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546A80" w:rsidRPr="00546A80" w:rsidRDefault="00546A80" w:rsidP="00977D5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546A80">
        <w:rPr>
          <w:rFonts w:cs="Calibri"/>
          <w:b/>
          <w:sz w:val="20"/>
          <w:szCs w:val="20"/>
        </w:rPr>
        <w:t>Students should be able to describe the relationship between inputs and outputs and average total cost and outputs in the long-run.</w:t>
      </w:r>
    </w:p>
    <w:p w:rsidR="00546A80" w:rsidRDefault="00546A80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Mastery Includes: Define increasing, decreasing, and constant returns to scale. Define economies of scale, diseconomies of scale, and </w:t>
      </w:r>
      <w:r w:rsidR="009E366D">
        <w:rPr>
          <w:rFonts w:cs="Calibri"/>
          <w:sz w:val="20"/>
          <w:szCs w:val="20"/>
        </w:rPr>
        <w:t xml:space="preserve">constant returns to scale. Define minimum efficient scale and explain how it can help determine the number of firms in an industry. </w:t>
      </w:r>
    </w:p>
    <w:p w:rsidR="00546A80" w:rsidRDefault="00546A80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E638AD" w:rsidRPr="00106C77" w:rsidRDefault="00E638A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06C77">
        <w:rPr>
          <w:rFonts w:cs="Calibri"/>
          <w:sz w:val="20"/>
          <w:szCs w:val="20"/>
        </w:rPr>
        <w:t>L</w:t>
      </w:r>
      <w:r w:rsidR="009E366D">
        <w:rPr>
          <w:rFonts w:cs="Calibri"/>
          <w:sz w:val="20"/>
          <w:szCs w:val="20"/>
        </w:rPr>
        <w:t>ong-Run Average Total Cost</w:t>
      </w:r>
    </w:p>
    <w:p w:rsidR="00E638AD" w:rsidRPr="00106C77" w:rsidRDefault="00E638A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06C77">
        <w:rPr>
          <w:rFonts w:cs="Calibri"/>
          <w:sz w:val="20"/>
          <w:szCs w:val="20"/>
        </w:rPr>
        <w:t>Economies of Scale</w:t>
      </w:r>
    </w:p>
    <w:p w:rsidR="00E638AD" w:rsidRPr="00106C77" w:rsidRDefault="00E638A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06C77">
        <w:rPr>
          <w:rFonts w:cs="Calibri"/>
          <w:sz w:val="20"/>
          <w:szCs w:val="20"/>
        </w:rPr>
        <w:t>Diseconomies of Scale</w:t>
      </w:r>
    </w:p>
    <w:p w:rsidR="00E638AD" w:rsidRPr="00106C77" w:rsidRDefault="00E638A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106C77">
        <w:rPr>
          <w:rFonts w:cs="Calibri"/>
          <w:sz w:val="20"/>
          <w:szCs w:val="20"/>
        </w:rPr>
        <w:t>Constant Returns to Scale</w:t>
      </w:r>
    </w:p>
    <w:p w:rsidR="00E638AD" w:rsidRPr="009E366D" w:rsidRDefault="00E638A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E366D">
        <w:rPr>
          <w:rFonts w:cs="Calibri"/>
          <w:sz w:val="20"/>
          <w:szCs w:val="20"/>
        </w:rPr>
        <w:t>Minimum Efficient Scale</w:t>
      </w:r>
    </w:p>
    <w:p w:rsidR="009E366D" w:rsidRP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E366D">
        <w:rPr>
          <w:rFonts w:cs="Calibri"/>
          <w:sz w:val="20"/>
          <w:szCs w:val="20"/>
        </w:rPr>
        <w:t>Economies of Scale</w:t>
      </w:r>
    </w:p>
    <w:p w:rsidR="009E366D" w:rsidRP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E366D">
        <w:rPr>
          <w:rFonts w:cs="Calibri"/>
          <w:sz w:val="20"/>
          <w:szCs w:val="20"/>
        </w:rPr>
        <w:t>Diseconomies of Scale</w:t>
      </w:r>
    </w:p>
    <w:p w:rsidR="009E366D" w:rsidRPr="009E366D" w:rsidRDefault="009E366D" w:rsidP="00977D5A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9E366D">
        <w:rPr>
          <w:rFonts w:cs="Calibri"/>
          <w:sz w:val="20"/>
          <w:szCs w:val="20"/>
        </w:rPr>
        <w:t>Constant Returns to Scale</w:t>
      </w:r>
    </w:p>
    <w:sectPr w:rsidR="009E366D" w:rsidRPr="009E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D5A"/>
    <w:rsid w:val="00024EA2"/>
    <w:rsid w:val="00024F0E"/>
    <w:rsid w:val="000417A6"/>
    <w:rsid w:val="00054672"/>
    <w:rsid w:val="00060A0C"/>
    <w:rsid w:val="00095FFC"/>
    <w:rsid w:val="000A1B0E"/>
    <w:rsid w:val="000F421A"/>
    <w:rsid w:val="00106C77"/>
    <w:rsid w:val="001571FF"/>
    <w:rsid w:val="00164DAB"/>
    <w:rsid w:val="00175BA7"/>
    <w:rsid w:val="00185147"/>
    <w:rsid w:val="001853A6"/>
    <w:rsid w:val="001A49BB"/>
    <w:rsid w:val="001B2287"/>
    <w:rsid w:val="001D706A"/>
    <w:rsid w:val="0022286F"/>
    <w:rsid w:val="00247C46"/>
    <w:rsid w:val="00277222"/>
    <w:rsid w:val="002A072B"/>
    <w:rsid w:val="002E431F"/>
    <w:rsid w:val="002F50A2"/>
    <w:rsid w:val="002F7CAD"/>
    <w:rsid w:val="00313DC6"/>
    <w:rsid w:val="0036623C"/>
    <w:rsid w:val="00395AAB"/>
    <w:rsid w:val="003A59AE"/>
    <w:rsid w:val="003B2F3B"/>
    <w:rsid w:val="003C689D"/>
    <w:rsid w:val="003E5E22"/>
    <w:rsid w:val="004327F6"/>
    <w:rsid w:val="004920C4"/>
    <w:rsid w:val="004969D3"/>
    <w:rsid w:val="004B325B"/>
    <w:rsid w:val="004F3E52"/>
    <w:rsid w:val="00546A80"/>
    <w:rsid w:val="00593A53"/>
    <w:rsid w:val="005A726E"/>
    <w:rsid w:val="005C351D"/>
    <w:rsid w:val="005D6846"/>
    <w:rsid w:val="005E3A7C"/>
    <w:rsid w:val="00663A30"/>
    <w:rsid w:val="00670664"/>
    <w:rsid w:val="006A5877"/>
    <w:rsid w:val="006B53FD"/>
    <w:rsid w:val="006B77E9"/>
    <w:rsid w:val="007547EB"/>
    <w:rsid w:val="00763C91"/>
    <w:rsid w:val="007661E8"/>
    <w:rsid w:val="0078356F"/>
    <w:rsid w:val="00783A84"/>
    <w:rsid w:val="007E3EB3"/>
    <w:rsid w:val="007E40D1"/>
    <w:rsid w:val="00817BD2"/>
    <w:rsid w:val="00851B73"/>
    <w:rsid w:val="008B185C"/>
    <w:rsid w:val="008B20B2"/>
    <w:rsid w:val="00931F89"/>
    <w:rsid w:val="0093565A"/>
    <w:rsid w:val="009614D8"/>
    <w:rsid w:val="00961B67"/>
    <w:rsid w:val="00962E0C"/>
    <w:rsid w:val="00977D5A"/>
    <w:rsid w:val="00980D0A"/>
    <w:rsid w:val="00982D0C"/>
    <w:rsid w:val="009E366D"/>
    <w:rsid w:val="00A75838"/>
    <w:rsid w:val="00A8308A"/>
    <w:rsid w:val="00A9065A"/>
    <w:rsid w:val="00AA1F6E"/>
    <w:rsid w:val="00AA7ADE"/>
    <w:rsid w:val="00AB432B"/>
    <w:rsid w:val="00AC033A"/>
    <w:rsid w:val="00AC7975"/>
    <w:rsid w:val="00AF5916"/>
    <w:rsid w:val="00B01831"/>
    <w:rsid w:val="00B11417"/>
    <w:rsid w:val="00B13819"/>
    <w:rsid w:val="00B708DD"/>
    <w:rsid w:val="00B83C94"/>
    <w:rsid w:val="00BB243D"/>
    <w:rsid w:val="00BB481C"/>
    <w:rsid w:val="00BD5E65"/>
    <w:rsid w:val="00BE6A5A"/>
    <w:rsid w:val="00BF48AB"/>
    <w:rsid w:val="00BF76D3"/>
    <w:rsid w:val="00C0241E"/>
    <w:rsid w:val="00C0484D"/>
    <w:rsid w:val="00C50B7A"/>
    <w:rsid w:val="00C670B5"/>
    <w:rsid w:val="00C955AC"/>
    <w:rsid w:val="00CE00D3"/>
    <w:rsid w:val="00CE2335"/>
    <w:rsid w:val="00D0668D"/>
    <w:rsid w:val="00D1251C"/>
    <w:rsid w:val="00D20777"/>
    <w:rsid w:val="00D64944"/>
    <w:rsid w:val="00D758B0"/>
    <w:rsid w:val="00D77606"/>
    <w:rsid w:val="00DC0794"/>
    <w:rsid w:val="00DE21F1"/>
    <w:rsid w:val="00DF7A29"/>
    <w:rsid w:val="00E0285E"/>
    <w:rsid w:val="00E36620"/>
    <w:rsid w:val="00E638AD"/>
    <w:rsid w:val="00E76AF9"/>
    <w:rsid w:val="00E94016"/>
    <w:rsid w:val="00EA65BC"/>
    <w:rsid w:val="00ED4ED1"/>
    <w:rsid w:val="00EE67E2"/>
    <w:rsid w:val="00EE7FA8"/>
    <w:rsid w:val="00F020B5"/>
    <w:rsid w:val="00F13C7A"/>
    <w:rsid w:val="00FA72F5"/>
    <w:rsid w:val="00FC615A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6DBDE"/>
  <w15:chartTrackingRefBased/>
  <w15:docId w15:val="{1E968483-794E-49F8-AC0D-F346535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Green</dc:creator>
  <cp:keywords/>
  <cp:lastModifiedBy>Charles Green</cp:lastModifiedBy>
  <cp:revision>2</cp:revision>
  <dcterms:created xsi:type="dcterms:W3CDTF">2019-10-03T20:16:00Z</dcterms:created>
  <dcterms:modified xsi:type="dcterms:W3CDTF">2019-10-03T20:16:00Z</dcterms:modified>
</cp:coreProperties>
</file>